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NOTĂ DE FUNDAMENTARE</w:t>
      </w:r>
    </w:p>
    <w:p>
      <w:pPr>
        <w:spacing w:after="0" w:line="240" w:lineRule="auto"/>
        <w:contextualSpacing w:val="0"/>
        <w:jc w:val="center"/>
        <w:rPr>
          <w:rFonts w:ascii="Trebuchet MS" w:hAnsi="Trebuchet MS" w:eastAsia="Trebuchet MS" w:cs="Trebuchet MS"/>
          <w:b/>
        </w:rPr>
      </w:pPr>
    </w:p>
    <w:tbl>
      <w:tblPr>
        <w:tblStyle w:val="39"/>
        <w:tblW w:w="935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56"/>
        <w:gridCol w:w="1419"/>
        <w:gridCol w:w="584"/>
        <w:gridCol w:w="585"/>
        <w:gridCol w:w="584"/>
        <w:gridCol w:w="585"/>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1:</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Titlul proiectului de act normativ</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 xml:space="preserve">ORDONANŢĂ DE URGENŢĂ </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privind unele măsuri pentru acordarea de sprijin financiar pentru întreprinderile din domeniul turismului, alimentației publice și organizării de evenimente, a căror activitate a fost afectată în contextul agresiunii Rusiei împotriva Ucrainei</w:t>
            </w:r>
          </w:p>
          <w:p>
            <w:pPr>
              <w:spacing w:after="0" w:line="240" w:lineRule="auto"/>
              <w:contextualSpacing w:val="0"/>
              <w:jc w:val="center"/>
              <w:rPr>
                <w:rFonts w:ascii="Trebuchet MS" w:hAnsi="Trebuchet MS" w:eastAsia="Trebuchet MS" w:cs="Trebuchet MS"/>
                <w:b/>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2-a:</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Motivul emiterii actului normativ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2.1. Sursa proiectului de act normativ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Măsura prevăzute în proiectul de act normativ are  în vedere sprijinirea   atat a intreprinderilor mari, cat si  a sectorului IMM, sector care reprezintă o prioritate a programului economic – parte componentă semnificativă a Programului de guvernare 2021 - 2024 și este inițiata de Ministerul Antreprenoriatului si Turismului.</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2.2. Descrierea situației actuale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Prin  schema de ajutor de stat se are în vedere acordarea de sprijin financiar din fonduri publice naționale pentru întreprinderile mici și mijlocii și întreprinderile mari din domeniul turismului, alimentației publice și organizării de evenimente, agențiilor de turism licențiate și ghizilor de turism atestați, a căror activitate economică a fost afectată de conflictul armat din Ucraina și/sau de sancțiunile economice, financiare și comerciale impuse de comunitatea europeană și internațională sau de contramăsurile de retorsiune luate de Rusia în semn de răspuns la acestea.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Ajutoarele de stat acordate în baza prezentei scheme de ajutor de stat sunt compatibile cu piața internă, în conformitate cu prevederile Comunicării Comisiei Europene - Cadru temporar de criză pentru măsuri de ajutor de stat de sprijinire a economiei ca urmare a agresiunii Rusiei împotriva Ucrainei (2022/C131/01), denumită în continuare Cadrul temporar Ucraina și se vor acorda după obținerea deciziei de autorizare a Comisiei Europene.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Schema este implementată de către Ministerul Antreprenoriatului și Turismului, denumit în continuare MAT, prin intermediul Agențiilor pentru Întreprinderi Mici și Mijlocii, Atragere de Investiții și Promovare a Exportului (AIMMAIPE) în parteneriat cu Serviciul de Telecomunicații Speciale în vederea analizei, dezvoltării și administrării aplicației electronice de gestiune și implementare a schemei de ajutor, în conformitate cu prevederile Hotărârii Guvernului nr. 1327/2021 privind organizarea și funcționarea Ministerului Antreprenoriatului și Turismului, cu modificările și completările ulterioare.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După obținerea deciziei de autorizare a Comisiei Europene, prezenta schemă de ajutor va fi aprobată prin Ordonanță de Urgență a Guvernului și publicată în Monitorul Oficial al României.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Bugetul Schemei este estimat la 750 milioane euro, echivalent în lei,  prin implementarea măsurii se estimează acordarea de ajutor de stat unui număr estimat de 10.000 de beneficiari.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Beneficiarii de ajutor de stat sunt structuri de primire turistice cu funcțiuni de cazare clasificate, structuri / unități de alimentație și organizatori de evenimente, înregistrate/înregistrați în scopuri fiscale pe teritoriul României, agenții de turism licențiate și ghizii de turism atestați, care își desfășoară activitatea pe teritoriul României, deținute de sau organizați ca întreprinderi mari sau întreprinderi mici și mijlocii, înființate în baza Legii societăților nr. 31/1990, republicată, cu modificările și completările ulterioare, a Legii nr. 1/2005 privind organizarea și funcționarea cooperației, republicată, cu modificările ulterioare, sau a Ordonanței de urgență a Guvernului nr. 6/2011 pentru stimularea înființării și dezvoltării microîntreprinderilor de către întreprinzătorii debutanți în afaceri, cu modificările și completările ulterioare.</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2.3. Schimbări preconizate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 Prin  schema de ajutor de stat se are în vedere acordarea de sprijin financiar din fonduri publice naționale pentru întreprinderile mici și mijlocii și întreprinderile mari din domeniul turismului, alimentației publice și organizării de evenimente, agențiilor de turism licențiate și ghizilor de turism atestați, a căror activitate economică a fost afectată de conflictul armat din Ucraina și/sau de sancțiunile economice, financiare și comerciale impuse de comunitatea europeană și internațională sau de contramăsurile de retorsiune luate de Rusia în semn de răspuns la acestea.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Ajutoarele de stat acordate în baza prezentei scheme de ajutor de stat sunt compatibile cu piața internă, în conformitate cu prevederile Comunicării Comisiei Europene - Cadru temporar de criză pentru măsuri de ajutor de stat de sprijinire a economiei ca urmare a agresiunii Rusiei împotriva Ucrainei (2022/C131/01), denumită în continuare Cadrul temporar Ucraina și se vor acorda după obținerea deciziei de autorizare a Comisiei Europene.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Schema este implementată de către Ministerul Antreprenoriatului și Turismului, denumit în continuare MAT, prin intermediul Agențiilor pentru Întreprinderi Mici și Mijlocii, Atragere de Investiții și Promovare a Exportului (AIMMAIPE) în parteneriat cu Serviciul de Telecomunicații Speciale în vederea analizei, dezvoltării și administrării aplicației electronice de gestiune și implementare a schemei de ajutor, în conformitate cu prevederile Hotărârii Guvernului nr. 1327/2021 privind organizarea și funcționarea Ministerului Antreprenoriatului și Turismului, cu modificările și completările ulterioare.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După obținerea deciziei de autorizare a Comisiei Europene, prezenta schemă de ajutor va fi aprobată prin Ordonanță de Urgență a Guvernului și publicată în Monitorul Oficial al României.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Bugetul Schemei este estimat la 750 milioane euro, echivalent în lei,  prin implementarea măsurii se estimează acordarea de ajutor de stat unui număr estimat de 10.000 de beneficiari.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Beneficiarii de ajutor de stat sunt structuri de primire turistice cu funcțiuni de cazare clasificate, structuri / unități de alimentație și organizatori de evenimente, înregistrate/înregistrați în scopuri fiscale pe teritoriul României, agenții de turism licențiate și ghizii de turism atestați, care își desfășoară activitatea pe teritoriul României, deținute de sau organizați ca întreprinderi mari sau întreprinderi mici și mijlocii, înființate în baza Legii societăților nr. 31/1990, republicată, cu modificările și completările ulterioare, a Legii nr. 1/2005 privind organizarea și funcționarea cooperației, republicată, cu modificările ulterioare, sau a Ordonanței de urgență a Guvernului nr. 6/2011 pentru stimularea înființării și dezvoltării microîntreprinderilor de către întreprinzătorii debutanți în afaceri, cu modificările și completările ulterioare.</w:t>
            </w:r>
          </w:p>
          <w:p>
            <w:pPr>
              <w:spacing w:after="0" w:line="240" w:lineRule="auto"/>
              <w:contextualSpacing w:val="0"/>
              <w:jc w:val="both"/>
              <w:rPr>
                <w:rFonts w:ascii="Trebuchet MS" w:hAnsi="Trebuchet MS" w:eastAsia="Trebuchet MS" w:cs="Trebuchet M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2.4. Alte informații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Principalele avantaje ale Programului:</w:t>
            </w:r>
          </w:p>
          <w:p>
            <w:pPr>
              <w:keepNext w:val="0"/>
              <w:keepLines w:val="0"/>
              <w:widowControl/>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0" w:line="259" w:lineRule="auto"/>
              <w:ind w:left="720" w:right="0" w:hanging="360"/>
              <w:contextualSpacing/>
              <w:jc w:val="both"/>
              <w:rPr>
                <w:b w:val="0"/>
                <w:i w:val="0"/>
                <w:smallCaps w:val="0"/>
                <w:strike w:val="0"/>
                <w:color w:val="000000"/>
                <w:sz w:val="22"/>
                <w:szCs w:val="22"/>
                <w:u w:val="none"/>
                <w:shd w:val="clear" w:fill="auto"/>
                <w:vertAlign w:val="baseline"/>
              </w:rPr>
            </w:pPr>
            <w:r>
              <w:rPr>
                <w:rFonts w:ascii="Trebuchet MS" w:hAnsi="Trebuchet MS" w:eastAsia="Trebuchet MS" w:cs="Trebuchet MS"/>
                <w:b w:val="0"/>
                <w:i w:val="0"/>
                <w:smallCaps w:val="0"/>
                <w:strike w:val="0"/>
                <w:color w:val="000000"/>
                <w:sz w:val="22"/>
                <w:szCs w:val="22"/>
                <w:u w:val="none"/>
                <w:shd w:val="clear" w:fill="auto"/>
                <w:vertAlign w:val="baseline"/>
                <w:rtl w:val="0"/>
              </w:rPr>
              <w:t>crearea necesarului de lichiditate financiară la dispoziția intreprinderilor mari si întreprinderilor mici și mijlocii din aceste domenii, grav afectate de ca urmare a invaziei Rusiei împotriva Ucrainei</w:t>
            </w:r>
          </w:p>
          <w:p>
            <w:pPr>
              <w:keepNext w:val="0"/>
              <w:keepLines w:val="0"/>
              <w:widowControl/>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160" w:line="259" w:lineRule="auto"/>
              <w:ind w:left="720" w:right="0" w:hanging="360"/>
              <w:contextualSpacing/>
              <w:jc w:val="both"/>
              <w:rPr>
                <w:b w:val="0"/>
                <w:i w:val="0"/>
                <w:smallCaps w:val="0"/>
                <w:strike w:val="0"/>
                <w:color w:val="000000"/>
                <w:sz w:val="22"/>
                <w:szCs w:val="22"/>
                <w:u w:val="none"/>
                <w:shd w:val="clear" w:fill="auto"/>
                <w:vertAlign w:val="baseline"/>
              </w:rPr>
            </w:pPr>
            <w:r>
              <w:rPr>
                <w:rFonts w:ascii="Trebuchet MS" w:hAnsi="Trebuchet MS" w:eastAsia="Trebuchet MS" w:cs="Trebuchet MS"/>
                <w:b w:val="0"/>
                <w:i w:val="0"/>
                <w:smallCaps w:val="0"/>
                <w:strike w:val="0"/>
                <w:color w:val="000000"/>
                <w:sz w:val="22"/>
                <w:szCs w:val="22"/>
                <w:u w:val="none"/>
                <w:shd w:val="clear" w:fill="auto"/>
                <w:vertAlign w:val="baseline"/>
                <w:rtl w:val="0"/>
              </w:rPr>
              <w:t>program va contribui la menținerea locurilor de muncă existente la nivelul întreprinderilor și la asigurarea continuității activității acestora, cu plata impozitelor, contribuțiilor și taxelor datorate bugetului de stat</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3-a:</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Impactul socioeconomic</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3.1. Descrierea generală a beneficiilor și costurilor estimate ca urmare a intrării în vigoare a actului normativ</w:t>
            </w:r>
          </w:p>
          <w:p>
            <w:pPr>
              <w:spacing w:after="0" w:line="240" w:lineRule="auto"/>
              <w:contextualSpacing w:val="0"/>
              <w:jc w:val="both"/>
              <w:rPr>
                <w:rFonts w:ascii="Trebuchet MS" w:hAnsi="Trebuchet MS" w:eastAsia="Trebuchet MS" w:cs="Trebuchet MS"/>
                <w:b/>
              </w:rPr>
            </w:pP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Bugetul Schemei este estimat la 750 milioane euro, echivalent în lei,  prin implementarea măsurii se estimează acordarea de ajutor de stat unui număr estimat de 10.000 de beneficiari.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Beneficiarii de ajutor de stat sunt structuri de primire turistice cu funcțiuni de cazare clasificate, structuri / unități de alimentație și organizatori de evenimente, înregistrate/înregistrați în scopuri fiscale pe teritoriul României, agenții de turism licențiate și ghizii de turism atestați, care își desfășoară activitatea pe teritoriul României, deținute de sau organizați ca întreprinderi mari sau întreprinderi mici și mijlocii, înființate în baza Legii societăților nr. 31/1990, republicată, cu modificările și completările ulterioare, a Legii nr. 1/2005 privind organizarea și funcționarea cooperației, republicată, cu modificările ulterioare, sau a Ordonanței de urgență a Guvernului nr. 6/2011 pentru stimularea înființării și dezvoltării microîntreprinderilor de către întreprinzătorii debutanți în afaceri, cu modificările și completările ulterioare.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1.1</w:t>
            </w:r>
            <w:r>
              <w:rPr>
                <w:rFonts w:ascii="Trebuchet MS" w:hAnsi="Trebuchet MS" w:eastAsia="Trebuchet MS" w:cs="Trebuchet MS"/>
                <w:rtl w:val="0"/>
              </w:rPr>
              <w:tab/>
            </w:r>
            <w:r>
              <w:rPr>
                <w:rFonts w:ascii="Trebuchet MS" w:hAnsi="Trebuchet MS" w:eastAsia="Trebuchet MS" w:cs="Trebuchet MS"/>
                <w:rtl w:val="0"/>
              </w:rPr>
              <w:t>Schema va permite înscrierea electronică în cadrul a doi piloni, respectiv:</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(1)</w:t>
            </w:r>
            <w:r>
              <w:rPr>
                <w:rFonts w:ascii="Trebuchet MS" w:hAnsi="Trebuchet MS" w:eastAsia="Trebuchet MS" w:cs="Trebuchet MS"/>
                <w:rtl w:val="0"/>
              </w:rPr>
              <w:tab/>
            </w:r>
            <w:r>
              <w:rPr>
                <w:rFonts w:ascii="Trebuchet MS" w:hAnsi="Trebuchet MS" w:eastAsia="Trebuchet MS" w:cs="Trebuchet MS"/>
                <w:rtl w:val="0"/>
              </w:rPr>
              <w:t>Pilonul 1 – compensarea cheltuielilor de exploatare în perioada 1 februarie – 31 decembrie 2022 prin aplicarea unui procent de 25% la valoarea cheltuielilor de exploatare aferente codului/codurilor CAEN finanțat/finanțate, cu excepția cheltuielilor cu energia electrică și/sau gazul, creșteri de costuri generate de conflictul armat din Ucraina și/sau de sancțiunile economice, financiare și comerciale impuse de comunitatea europeană și internațională sau de contramăsurile de retorsiune luate de Rusia în semn de răspuns la acestea.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(2)</w:t>
            </w:r>
            <w:r>
              <w:rPr>
                <w:rFonts w:ascii="Trebuchet MS" w:hAnsi="Trebuchet MS" w:eastAsia="Trebuchet MS" w:cs="Trebuchet MS"/>
                <w:rtl w:val="0"/>
              </w:rPr>
              <w:tab/>
            </w:r>
            <w:r>
              <w:rPr>
                <w:rFonts w:ascii="Trebuchet MS" w:hAnsi="Trebuchet MS" w:eastAsia="Trebuchet MS" w:cs="Trebuchet MS"/>
                <w:rtl w:val="0"/>
              </w:rPr>
              <w:t>Pilonul 2 – compensarea cu maximum 30% din creșterea costului eligibil cu energia electrică și/sau gazul în perioada 1 februarie 2022 – 31 decembrie 2022, creșteri de costuri generate de conflictul armat din Ucraina și/sau de sancțiunile economice, financiare și comerciale impuse de comunitatea europeană și internațională sau de contramăsurile de retorsiune luate de Rusia în semn de răspuns la acestea.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 Aplicanții vor avea posibilitatea înscrierii pe ambii piloni sau doar pe unul dintre cei doi piloni.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 Valorile compensate prin intermediul celor doi piloni nu conțin Taxa pe Valoare Adăugată(TVA), această taxă fiind neeligibilă în cadrul schemei de ajutor.</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1.2</w:t>
            </w:r>
            <w:r>
              <w:rPr>
                <w:rFonts w:ascii="Trebuchet MS" w:hAnsi="Trebuchet MS" w:eastAsia="Trebuchet MS" w:cs="Trebuchet MS"/>
                <w:rtl w:val="0"/>
              </w:rPr>
              <w:tab/>
            </w:r>
            <w:r>
              <w:rPr>
                <w:rFonts w:ascii="Trebuchet MS" w:hAnsi="Trebuchet MS" w:eastAsia="Trebuchet MS" w:cs="Trebuchet MS"/>
                <w:rtl w:val="0"/>
              </w:rPr>
              <w:t>Ajutorul de stat va fi calculat automat de către aplicația informatică, în două momente distincte și în concordanță cu prevederile Cadrului Temporar Ucraina pentru fiecare pilon în parte, după cum urmează: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a)</w:t>
            </w:r>
            <w:r>
              <w:rPr>
                <w:rFonts w:ascii="Trebuchet MS" w:hAnsi="Trebuchet MS" w:eastAsia="Trebuchet MS" w:cs="Trebuchet MS"/>
                <w:rtl w:val="0"/>
              </w:rPr>
              <w:tab/>
            </w:r>
            <w:r>
              <w:rPr>
                <w:rFonts w:ascii="Trebuchet MS" w:hAnsi="Trebuchet MS" w:eastAsia="Trebuchet MS" w:cs="Trebuchet MS"/>
                <w:rtl w:val="0"/>
              </w:rPr>
              <w:t>Pentru Pilonul 1, la momentul înscrierii, aplicanții vor avea obligația încărcării în aplicația informatică a următoarelor documente și informații: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un raport de expertiză contabilă, care va cuprinde valoarea cheltuielilor din exploatare aferente activității codului/codurilor CAEN finanțat/finanțate, pentru perioada 1 Februarie – 30 septembrie 2022;</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 xml:space="preserve">o estimare a reprezentantului legal al societății aplicante a valorii cheltuielilor de exploatare aferente activității codului/codurilor CAEN finanțat/finanțate pentru perioada 1 Octombrie – 31 decembrie 2022;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 xml:space="preserve">valoarea costurilor lunare cu energia și/sau gazul pentru perioada 1 Februarie – 30 septembrie 2022 și o estimare a costurilor cu energia și/sau gazul aferente 1 Octombrie – 31 decembrie 2022;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Aplicația va calcula diferența dintre totalul cheltuielilor de exploatare (pentru perioada 1 Februarie – 31 decembrie 2022, valori reale și estimate) și totalul costurilor cu energia electrică și/sau gazul ((pentru perioada 1 Februarie – 31 decembrie 2022, valori reale și estimate) și va aplica un procent de 25% la această diferență, rezultând valoarea denumită în continuare VSP1 (Valoare Solicitată Pilon 1).</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w:t>
            </w:r>
            <w:r>
              <w:rPr>
                <w:rFonts w:ascii="Trebuchet MS" w:hAnsi="Trebuchet MS" w:eastAsia="Trebuchet MS" w:cs="Trebuchet MS"/>
                <w:rtl w:val="0"/>
              </w:rPr>
              <w:tab/>
            </w:r>
            <w:r>
              <w:rPr>
                <w:rFonts w:ascii="Trebuchet MS" w:hAnsi="Trebuchet MS" w:eastAsia="Trebuchet MS" w:cs="Trebuchet MS"/>
                <w:rtl w:val="0"/>
              </w:rPr>
              <w:t>Pentru Pilonul 2, la momentul înscrierii, aplicanții vor avea obligația încărcării în aplicația informatică a următoarelor documente și informații: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În vederea calculului prețului mediu unitar (P ref) aferent costurilor cu energia electrică și/sau gaz din anul 2021, aplicantul va încărca în aplicație totalitatea facturilor și a documentelor de plată ale acestor tipuri de cheltuieli și va edita valorile lunare în câmpurile existente în sistemul informatic.</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 xml:space="preserve">În vederea identificării prețului unitar / KwH aferent lunii Septembrie 2022 (PS), aplicantul va încărca în aplicație facturile și documentele de plată aferent consumului din luna Septembrie 2022 atât pentru gaz cât și energie electrică și va edita valoarile lunare în câmpul existent în sistemul informatic;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 xml:space="preserve">Aplicația informatică va calcula, pentru fiecare tip de cheltuială energie electrică sau gaz creșterea prețului pe care beneficiarul îl plătește pe unitate consumată ca diferență dintre prețul unitar / KwH aferent lunii Septembrie 2022 (PS) și 200% din prețul mediu unitar (P ref);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În vederea calcului costului eligibil, în conformitate cu facturile lunare cu energia și/sau gazul pentru perioada 1 Februarie – 30 septembrie 2022 și o estimare a consumului cu energia și/sau gazul aferente 1 Octombrie – 31 decembrie 2022, aplicantul va edita numărul de Kw consumat pentru fiecare tip de cheltuială în parte, iar aplicația va calcula 30% din produsul numărului de kilowati consumați în perioada eligibilă și creșterea prețului pe care beneficiarul îl plătește pe unitate consumată, după următoarea formulă simplificată: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CE = (P (t) — P (ref) * 2) * q (t)</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P (S) – prețul unitar plătit de întreprindere într-o anumită lună din perioada eligibilă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P (ref) -  prețul unitar plătit de întreprindere în medie în perioada de referință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q (t) - numărul de unități de gaze naturale și/sau energie electrică achiziționate de întreprindere în perioada eligibilă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S – luna Septembrie 2022 din perioada eligibilă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Aplicația va însuma valorile rezultate de 30% din costurile eligibile pentru ambele cheltuieli (energie electrică și gaz) și va afișa Valoarea Solicitată Pilon 2 (VSP2)</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c)</w:t>
            </w:r>
            <w:r>
              <w:rPr>
                <w:rFonts w:ascii="Trebuchet MS" w:hAnsi="Trebuchet MS" w:eastAsia="Trebuchet MS" w:cs="Trebuchet MS"/>
                <w:rtl w:val="0"/>
              </w:rPr>
              <w:tab/>
            </w:r>
            <w:r>
              <w:rPr>
                <w:rFonts w:ascii="Trebuchet MS" w:hAnsi="Trebuchet MS" w:eastAsia="Trebuchet MS" w:cs="Trebuchet MS"/>
                <w:rtl w:val="0"/>
              </w:rPr>
              <w:t>Se calculează automat de către aplicația informatică totalul eligibil aferent celor doi piloni respectiv VSP1+VSP2, denumit în continuare VTS (Valoare Totală Solicitată);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d)</w:t>
            </w:r>
            <w:r>
              <w:rPr>
                <w:rFonts w:ascii="Trebuchet MS" w:hAnsi="Trebuchet MS" w:eastAsia="Trebuchet MS" w:cs="Trebuchet MS"/>
                <w:rtl w:val="0"/>
              </w:rPr>
              <w:tab/>
            </w:r>
            <w:r>
              <w:rPr>
                <w:rFonts w:ascii="Trebuchet MS" w:hAnsi="Trebuchet MS" w:eastAsia="Trebuchet MS" w:cs="Trebuchet MS"/>
                <w:rtl w:val="0"/>
              </w:rPr>
              <w:t>Se calculează automat, de către aplicația informatică, prorata per aplicant, ca procent al Valoarii Totale Solicitată (VST) din bugetul solicitat aferent tuturor aplicanților declarați admiși la finanțare în urma etapei de preverificare;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e)</w:t>
            </w:r>
            <w:r>
              <w:rPr>
                <w:rFonts w:ascii="Trebuchet MS" w:hAnsi="Trebuchet MS" w:eastAsia="Trebuchet MS" w:cs="Trebuchet MS"/>
                <w:rtl w:val="0"/>
              </w:rPr>
              <w:tab/>
            </w:r>
            <w:r>
              <w:rPr>
                <w:rFonts w:ascii="Trebuchet MS" w:hAnsi="Trebuchet MS" w:eastAsia="Trebuchet MS" w:cs="Trebuchet MS"/>
                <w:rtl w:val="0"/>
              </w:rPr>
              <w:t>Se aplică prorata per aplicant ca procent individual aplicat întregului buget alocat schemei de ajutor de la bugetul de stat pentru stabilirea ajutorului financiar nerambursabil ce urmează a fi angajat/contractat.</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5.4. Valoarea maximă a ajutorului acordat aferent pilonului 1 nu depășește 500.000 EUR pe întreprindere așa cum este definită la art. 4.1, lit.d) din prezenta schemă de ajutor, în orice moment, în sumă brută, înainte de deducerea impozitelor sau a altor taxe și se acordă în limita de timp impusă de Cadrul Temporar Ucraina.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5.5  (1) Valoarea maximă a ajutorului acordat aferent pilonului 2 nu depășește 2 milioane EUR pe întreprindere așa cum este definită la art. 4.1, lit.d) din prezenta schemă de ajutor, în orice moment, în sumă brută, înainte de deducerea impozitelor sau a altor taxe și se acordă până cel târziu la data impusă de Cadrul Temporar Ucraina.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(2) Valoarea maximă însumată a ajutorului acordat aferent ambilor piloni (Pilon 1 + Pilon 2) nu depășește 2 milioane EUR pe întreprindere așa cum este definită la art. 4.1, lit.d) din prezenta schemă de ajutor, în orice moment, în sumă brută, înainte de deducerea impozitelor sau a altor taxe și se acordă până cel târziu la data impusă de Cadrul Temporar Ucraina.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 Ajutoarele acordate pe baza schemelor aprobate în temeiul Cadrului temporar de criză pentru măsuri de ajutor de stat de sprijinire a economiei ca urmare a agresiunii Rusiei împotriva Ucrainei, care sunt rambursate înainte de acordarea unor noi ajutoare în temeiul prezentei scheme nu se vor lua în considerare pentru a se stabili dacă s-a depășit plafonul relevant.</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 În cazul în care o întreprindere își desfășoară activitatea atât în unul dintre sectoarele exceptate, cât și în unul sau mai multe sectoare sau domenii de activitate care pot fi finanțate în cadrul acestei scheme, prevederile acesteia se aplică ajutoarelor acordate pentru sectoarele neexceptate.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 Pentru a beneficia de prevederile acestei scheme, aplicantul de ajutor trebuie să se asigure, prin mijloace corespunzătoare, precum separarea activităților sau o distincție între costuri, că activitățile desfășurate în sectoarele excluse din domeniul de aplicare nu beneficiază de ajutoare de stat acordate în conformitate cu prezenta schemă.</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(6) Ajutorul acordat în temeiul prezentei scheme nu este condiționat de relocarea activității pentru care solicitantul obține finanțarea.</w:t>
            </w:r>
          </w:p>
          <w:p>
            <w:pPr>
              <w:spacing w:after="0" w:line="240" w:lineRule="auto"/>
              <w:contextualSpacing w:val="0"/>
              <w:jc w:val="both"/>
              <w:rPr>
                <w:rFonts w:ascii="Trebuchet MS" w:hAnsi="Trebuchet MS" w:eastAsia="Trebuchet MS" w:cs="Trebuchet MS"/>
                <w:b/>
              </w:rPr>
            </w:pP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3.2. Impactul social</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w:t>
            </w:r>
            <w:r>
              <w:rPr>
                <w:rFonts w:ascii="Trebuchet MS" w:hAnsi="Trebuchet MS" w:eastAsia="Trebuchet MS" w:cs="Trebuchet MS"/>
                <w:rtl w:val="0"/>
              </w:rPr>
              <w:tab/>
            </w:r>
            <w:r>
              <w:rPr>
                <w:rFonts w:ascii="Trebuchet MS" w:hAnsi="Trebuchet MS" w:eastAsia="Trebuchet MS" w:cs="Trebuchet MS"/>
                <w:rtl w:val="0"/>
              </w:rPr>
              <w:t>program va contribui la menținerea locurilor de muncă existente la nivelul întreprinderilor și la asigurarea continuității activității acestora</w:t>
            </w:r>
          </w:p>
          <w:p>
            <w:pPr>
              <w:spacing w:after="0" w:line="240" w:lineRule="auto"/>
              <w:contextualSpacing w:val="0"/>
              <w:jc w:val="both"/>
              <w:rPr>
                <w:rFonts w:ascii="Trebuchet MS" w:hAnsi="Trebuchet MS" w:eastAsia="Trebuchet MS" w:cs="Trebuchet MS"/>
                <w:b/>
              </w:rPr>
            </w:pPr>
          </w:p>
          <w:p>
            <w:pPr>
              <w:spacing w:after="0" w:line="240" w:lineRule="auto"/>
              <w:contextualSpacing w:val="0"/>
              <w:jc w:val="both"/>
              <w:rPr>
                <w:rFonts w:ascii="Trebuchet MS" w:hAnsi="Trebuchet MS" w:eastAsia="Trebuchet MS" w:cs="Trebuchet MS"/>
                <w:b/>
              </w:rPr>
            </w:pP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3.3. Impactul asupra drepturilor și libertăților fundamentale ale omului</w:t>
            </w:r>
          </w:p>
          <w:p>
            <w:pPr>
              <w:spacing w:after="0" w:line="240" w:lineRule="auto"/>
              <w:contextualSpacing w:val="0"/>
              <w:jc w:val="both"/>
              <w:rPr>
                <w:rFonts w:ascii="Trebuchet MS" w:hAnsi="Trebuchet MS" w:eastAsia="Trebuchet MS" w:cs="Trebuchet MS"/>
              </w:rPr>
            </w:pP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  Nu sunt afectate drepturilor și libertăților fundamentale ale omului, ci sprijinirea mediului antreprenorial autohton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3.4. Impactul macroeconomic</w:t>
            </w:r>
          </w:p>
          <w:p>
            <w:pPr>
              <w:spacing w:after="0" w:line="240" w:lineRule="auto"/>
              <w:contextualSpacing w:val="0"/>
              <w:jc w:val="both"/>
              <w:rPr>
                <w:rFonts w:ascii="Trebuchet MS" w:hAnsi="Trebuchet MS" w:eastAsia="Trebuchet MS" w:cs="Trebuchet MS"/>
              </w:rPr>
            </w:pP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Rezultatele acestui program vor avea ca efect menținerea în activitate 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întreprinderilor, implicit a locurilor de muncă furnizate de acestea pe perioada în care se manifestă efectele crizei Ucraina.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Prin numărul mare de persoane angajate în sectorul IMM-urilor, dar mai laes in cadrul intreprinderilor mari,  corelat cu diversitatea de produse/servicii oferite, menținerea funcțională a segmentului IMM urilor reprezintă o cerință fundamentală pentru traversarea perioadei de criza Ucraina, precum și revenirea economică rapidă.</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3.4.1. Impactul asupra economiei și asupra principalilor indicatori macroeconomici</w:t>
            </w:r>
          </w:p>
          <w:p>
            <w:pPr>
              <w:spacing w:after="0" w:line="240" w:lineRule="auto"/>
              <w:contextualSpacing w:val="0"/>
              <w:jc w:val="both"/>
              <w:rPr>
                <w:rFonts w:ascii="Trebuchet MS" w:hAnsi="Trebuchet MS" w:eastAsia="Trebuchet MS" w:cs="Trebuchet MS"/>
              </w:rPr>
            </w:pP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Prin acest program se are în vedere asigurarea resurselor financiare necesare întreprinderilor mici și mijlocii pentru traversarea perioadei de influență  a conflictului armat dintre Rusia si Ucraina.</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Totodată, acest program va contribui la menținerea locurilor de muncă existente la nivelul întreprinderilor și la asigurarea continuității activității acestora, cu plata impozitelor, contribuțiilor și taxelor datorate bugetului de stat.</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3.4.2. Impactul asupra mediului concurențial si domeniul ajutoarelor de stat</w:t>
            </w:r>
          </w:p>
          <w:p>
            <w:pPr>
              <w:spacing w:after="0" w:line="240" w:lineRule="auto"/>
              <w:contextualSpacing w:val="0"/>
              <w:jc w:val="both"/>
              <w:rPr>
                <w:rFonts w:ascii="Trebuchet MS" w:hAnsi="Trebuchet MS" w:eastAsia="Trebuchet MS" w:cs="Trebuchet MS"/>
              </w:rPr>
            </w:pP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Prin corelarea măsurilor adoptate cu cele prevăzute în Comunicarea Comisiei  privind Cadrului temporar de criză pentru masuri de ajutor de stat de sprijinire a economiei ca urmare a agresiunii Rusiei împotriva Ucrainei, se asigură compatibilitatea măsurilor de ajutor de stat avute în vedere cu legislația europeană în domeniu. Totodată, aceste masuri se vor acorda după obținerea deciziei de aprobare din partea C.E. De asemenea larga aplicabilitate a programului oferă posibilitatea oricărei întreprinderi  din domeniul HORECA să beneficieze de facilitățile oferite în cadrul schemei de ajutor de stat, atat timp mcat intruneste criteriile de eligibilitate.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3.5. Impactul asupra mediului de afaceri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va avea impact favorabil asupra mediului de afaceri prin înlesnirea accesului la finanțare al întreprinderilor, pentru stabilizarea situației IMM-urilor afectate de criza economică indusa de conflictul armat Rusia - Ucraina. Prin implementarea măsurilor propuse se vor obține efecte antrenante în economie, cu utilizarea unui minim de resurse publice.</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3.6. Impactul asupra mediului înconjurător</w:t>
            </w:r>
          </w:p>
          <w:p>
            <w:pPr>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Prezentul act normativ nu se referă la acest subiect</w:t>
            </w:r>
            <w:r>
              <w:rPr>
                <w:rFonts w:ascii="Trebuchet MS" w:hAnsi="Trebuchet MS" w:eastAsia="Trebuchet MS" w:cs="Trebuchet MS"/>
                <w:b/>
                <w:rtl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3.7. Evaluarea costurilor și beneficiilor din perspectiva inovării și digitalizării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Masura permite beneficiarilor de ajutor de stat sa faca inclusiv investitii din sfera inovarii si digitalizarii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highlight w:val="white"/>
                <w:rtl w:val="0"/>
              </w:rPr>
              <w:t>3.8. Evaluarea costurilor și beneficiilor din perspectiva dezvoltării durabile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Masura permite beneficiarilor de ajutor de stat sa faca inclusiv investitii privind dezvoltarea durabila, compensarea costurilor permitand intreprinderilor sa faca investititii in echipamente, instalatii care permit o economisire de energie.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3.9. Alte informații</w:t>
            </w:r>
          </w:p>
          <w:p>
            <w:pPr>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tabs>
                <w:tab w:val="left" w:pos="567"/>
              </w:tabs>
              <w:spacing w:after="0" w:line="240" w:lineRule="auto"/>
              <w:contextualSpacing w:val="0"/>
              <w:jc w:val="center"/>
              <w:rPr>
                <w:rFonts w:ascii="Trebuchet MS" w:hAnsi="Trebuchet MS" w:eastAsia="Trebuchet MS" w:cs="Trebuchet MS"/>
                <w:b/>
              </w:rPr>
            </w:pPr>
          </w:p>
          <w:p>
            <w:pPr>
              <w:tabs>
                <w:tab w:val="left" w:pos="567"/>
              </w:tabs>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4-a</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Impactul financiar asupra bugetului general consolidat atât pe termen scurt, pentru anul curent, cât şi pe termen lung (pe 5 ani), inclusiv informații cu privire la cheltuieli și venituri.***)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 în mii lei (RON)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b/>
                <w:rtl w:val="0"/>
              </w:rPr>
              <w:t>Indicatori</w:t>
            </w:r>
          </w:p>
        </w:tc>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b/>
                <w:rtl w:val="0"/>
              </w:rPr>
              <w:t>Anul curent</w:t>
            </w:r>
          </w:p>
        </w:tc>
        <w:tc>
          <w:tcPr>
            <w:gridSpan w:val="4"/>
          </w:tcPr>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b/>
                <w:rtl w:val="0"/>
              </w:rPr>
              <w:t>Următorii patru ani</w:t>
            </w:r>
          </w:p>
        </w:tc>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b/>
                <w:rtl w:val="0"/>
              </w:rPr>
              <w:t>Media pe cinci ani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1</w:t>
            </w:r>
          </w:p>
        </w:tc>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2</w:t>
            </w:r>
          </w:p>
        </w:tc>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3</w:t>
            </w:r>
          </w:p>
        </w:tc>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w:t>
            </w:r>
          </w:p>
        </w:tc>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w:t>
            </w:r>
          </w:p>
        </w:tc>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6</w:t>
            </w:r>
          </w:p>
        </w:tc>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4.1. Modificări ale veniturilor bugetare, plus/minus, din care:</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a) buget de stat, din acesta:</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i. impozit pe profit</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ii. impozit pe venit</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 bugete locale</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i. impozit pe profit</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c) bugetul asigurărilor sociale de stat:</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i. contribuții de asigurări</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d) alte tipuri de venituri </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(se va menționa natura acestora)</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4.2. Modificări ale cheltuielilor bugetare, plus/minus, din care:</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a) buget de stat, din acesta:</w:t>
            </w:r>
          </w:p>
          <w:p>
            <w:pPr>
              <w:numPr>
                <w:ilvl w:val="0"/>
                <w:numId w:val="2"/>
              </w:numPr>
              <w:tabs>
                <w:tab w:val="left" w:pos="567"/>
              </w:tabs>
              <w:spacing w:after="0" w:line="240" w:lineRule="auto"/>
              <w:ind w:left="720" w:hanging="360"/>
              <w:contextualSpacing w:val="0"/>
              <w:jc w:val="both"/>
              <w:rPr>
                <w:rFonts w:ascii="Trebuchet MS" w:hAnsi="Trebuchet MS" w:eastAsia="Trebuchet MS" w:cs="Trebuchet MS"/>
              </w:rPr>
            </w:pPr>
            <w:r>
              <w:rPr>
                <w:rFonts w:ascii="Trebuchet MS" w:hAnsi="Trebuchet MS" w:eastAsia="Trebuchet MS" w:cs="Trebuchet MS"/>
                <w:rtl w:val="0"/>
              </w:rPr>
              <w:t>cheltuieli de personal</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bunuri și servicii</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 bugete locale:</w:t>
            </w:r>
          </w:p>
          <w:p>
            <w:pPr>
              <w:numPr>
                <w:ilvl w:val="0"/>
                <w:numId w:val="3"/>
              </w:numPr>
              <w:tabs>
                <w:tab w:val="left" w:pos="567"/>
              </w:tabs>
              <w:spacing w:after="0" w:line="240" w:lineRule="auto"/>
              <w:ind w:left="720" w:hanging="360"/>
              <w:contextualSpacing w:val="0"/>
              <w:jc w:val="both"/>
              <w:rPr>
                <w:rFonts w:ascii="Trebuchet MS" w:hAnsi="Trebuchet MS" w:eastAsia="Trebuchet MS" w:cs="Trebuchet MS"/>
              </w:rPr>
            </w:pPr>
            <w:r>
              <w:rPr>
                <w:rFonts w:ascii="Trebuchet MS" w:hAnsi="Trebuchet MS" w:eastAsia="Trebuchet MS" w:cs="Trebuchet MS"/>
                <w:rtl w:val="0"/>
              </w:rPr>
              <w:t>cheltuieli de personal</w:t>
            </w:r>
          </w:p>
          <w:p>
            <w:pPr>
              <w:numPr>
                <w:ilvl w:val="0"/>
                <w:numId w:val="3"/>
              </w:numPr>
              <w:tabs>
                <w:tab w:val="left" w:pos="567"/>
              </w:tabs>
              <w:spacing w:after="0" w:line="240" w:lineRule="auto"/>
              <w:ind w:left="720" w:hanging="360"/>
              <w:contextualSpacing w:val="0"/>
              <w:jc w:val="both"/>
              <w:rPr>
                <w:rFonts w:ascii="Trebuchet MS" w:hAnsi="Trebuchet MS" w:eastAsia="Trebuchet MS" w:cs="Trebuchet MS"/>
              </w:rPr>
            </w:pPr>
            <w:r>
              <w:rPr>
                <w:rFonts w:ascii="Trebuchet MS" w:hAnsi="Trebuchet MS" w:eastAsia="Trebuchet MS" w:cs="Trebuchet MS"/>
                <w:rtl w:val="0"/>
              </w:rPr>
              <w:t>bunuri și servicii</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c) bugetul asigurărilor sociale de stat:</w:t>
            </w:r>
          </w:p>
          <w:p>
            <w:pPr>
              <w:numPr>
                <w:ilvl w:val="0"/>
                <w:numId w:val="4"/>
              </w:numPr>
              <w:tabs>
                <w:tab w:val="left" w:pos="567"/>
              </w:tabs>
              <w:spacing w:after="0" w:line="240" w:lineRule="auto"/>
              <w:ind w:left="720" w:hanging="360"/>
              <w:contextualSpacing w:val="0"/>
              <w:jc w:val="both"/>
              <w:rPr>
                <w:rFonts w:ascii="Trebuchet MS" w:hAnsi="Trebuchet MS" w:eastAsia="Trebuchet MS" w:cs="Trebuchet MS"/>
              </w:rPr>
            </w:pPr>
            <w:r>
              <w:rPr>
                <w:rFonts w:ascii="Trebuchet MS" w:hAnsi="Trebuchet MS" w:eastAsia="Trebuchet MS" w:cs="Trebuchet MS"/>
                <w:rtl w:val="0"/>
              </w:rPr>
              <w:t>cheltuieli de personal</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bunuri și servicii</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d) alte tipuri de cheltuieli</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 xml:space="preserve">(se va menționa natura acestora) </w:t>
            </w:r>
            <w:r>
              <w:rPr>
                <w:rFonts w:ascii="Trebuchet MS" w:hAnsi="Trebuchet MS" w:eastAsia="Trebuchet MS" w:cs="Trebuchet MS"/>
                <w:b/>
                <w:rtl w:val="0"/>
              </w:rPr>
              <w:t xml:space="preserve">– compensatii </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b/>
                <w:rtl w:val="0"/>
              </w:rPr>
              <w:t>( subventii)</w:t>
            </w:r>
          </w:p>
        </w:tc>
        <w:tc>
          <w:p>
            <w:pPr>
              <w:tabs>
                <w:tab w:val="left" w:pos="567"/>
              </w:tabs>
              <w:spacing w:after="0" w:line="240" w:lineRule="auto"/>
              <w:contextualSpacing w:val="0"/>
              <w:jc w:val="both"/>
              <w:rPr>
                <w:rFonts w:ascii="Trebuchet MS" w:hAnsi="Trebuchet MS" w:eastAsia="Trebuchet MS" w:cs="Trebuchet MS"/>
                <w:b/>
                <w:vertAlign w:val="subscript"/>
              </w:rPr>
            </w:pPr>
            <w:r>
              <w:rPr>
                <w:rFonts w:ascii="Trebuchet MS" w:hAnsi="Trebuchet MS" w:eastAsia="Trebuchet MS" w:cs="Trebuchet MS"/>
                <w:b/>
                <w:vertAlign w:val="subscript"/>
                <w:rtl w:val="0"/>
              </w:rPr>
              <w:t>+</w:t>
            </w:r>
            <w:r>
              <w:rPr>
                <w:rFonts w:ascii="Trebuchet MS" w:hAnsi="Trebuchet MS" w:eastAsia="Trebuchet MS" w:cs="Trebuchet MS"/>
                <w:b/>
                <w:sz w:val="32"/>
                <w:szCs w:val="32"/>
                <w:vertAlign w:val="subscript"/>
                <w:rtl w:val="0"/>
              </w:rPr>
              <w:t>3.712.500</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4.3. Impact financiar, plus/minus, din care:</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a)</w:t>
            </w:r>
            <w:r>
              <w:rPr>
                <w:rFonts w:ascii="Trebuchet MS" w:hAnsi="Trebuchet MS" w:eastAsia="Trebuchet MS" w:cs="Trebuchet MS"/>
                <w:vertAlign w:val="superscript"/>
                <w:rtl w:val="0"/>
              </w:rPr>
              <w:t xml:space="preserve"> </w:t>
            </w:r>
            <w:r>
              <w:rPr>
                <w:rFonts w:ascii="Trebuchet MS" w:hAnsi="Trebuchet MS" w:eastAsia="Trebuchet MS" w:cs="Trebuchet MS"/>
                <w:rtl w:val="0"/>
              </w:rPr>
              <w:t>buget de stat</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4.3 Impact financiar, plus/minus, din care:</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a)</w:t>
            </w:r>
            <w:r>
              <w:rPr>
                <w:rFonts w:ascii="Trebuchet MS" w:hAnsi="Trebuchet MS" w:eastAsia="Trebuchet MS" w:cs="Trebuchet MS"/>
                <w:vertAlign w:val="superscript"/>
                <w:rtl w:val="0"/>
              </w:rPr>
              <w:t xml:space="preserve"> </w:t>
            </w:r>
            <w:r>
              <w:rPr>
                <w:rFonts w:ascii="Trebuchet MS" w:hAnsi="Trebuchet MS" w:eastAsia="Trebuchet MS" w:cs="Trebuchet MS"/>
                <w:rtl w:val="0"/>
              </w:rPr>
              <w:t>buget de stat</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b) bugete locale</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4.4. Propuneri pentru acoperirea creșterii cheltuielilor bugetare</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4.5. Propuneri pentru a compensa reducerea veniturilor bugetare</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4.6. Calcule detaliate privind fundamentarea modificărilor veniturilor și/sau cheltuielilor bugetare</w:t>
            </w: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c>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4.7. Prezentarea, în cazul proiectelor de acte normative a căror adoptare atrage majorarea cheltuielilor bugetare, a următoarelor documente: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a) fișa financiară prevăzută la art.15 din Legea nr. 500/2002 privind finanțele publice, cu modificările şi completările ulterioare, însoțită de ipotezele și metodologia de calcul utilizată;</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 declarație conform căreia majorarea de cheltuială respectivă este compatibilă cu obiectivele şi prioritățile strategice specificate în strategia fiscal-bugetară, cu legea bugetară anuală şi cu plafoanele de cheltuieli prezentate în strategia fiscal-bugetară.</w:t>
            </w:r>
          </w:p>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Actul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4.8. Alte informații</w:t>
            </w:r>
          </w:p>
          <w:p>
            <w:pPr>
              <w:tabs>
                <w:tab w:val="left" w:pos="567"/>
              </w:tabs>
              <w:spacing w:after="0" w:line="240" w:lineRule="auto"/>
              <w:contextualSpacing w:val="0"/>
              <w:jc w:val="both"/>
              <w:rPr>
                <w:rFonts w:ascii="Trebuchet MS" w:hAnsi="Trebuchet MS" w:eastAsia="Trebuchet MS" w:cs="Trebuchet MS"/>
                <w:b/>
                <w:strik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5-a:</w:t>
            </w:r>
          </w:p>
          <w:p>
            <w:pPr>
              <w:tabs>
                <w:tab w:val="left" w:pos="567"/>
              </w:tabs>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Efectele proiectului de act normativ asupra legislației în vigoare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5.1. Măsuri normative necesare pentru aplicarea prevederilor proiectului de act normativ</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color w:val="000000"/>
                <w:rtl w:val="0"/>
              </w:rPr>
              <w:t>a) acte normative ce vor fi modificate ca urmare a intrării în vigoare a proiectului de act normativ.</w:t>
            </w:r>
            <w:r>
              <w:rPr>
                <w:rFonts w:ascii="Trebuchet MS" w:hAnsi="Trebuchet MS" w:eastAsia="Trebuchet MS" w:cs="Trebuchet MS"/>
                <w:rtl w:val="0"/>
              </w:rPr>
              <w:t xml:space="preserve"> </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b) acte normative ce vor fi abrogate ca urmare a intrării în vigoare a proiectului de act normativ.</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c) acte normative ce urmează a fi elaborate ca urmare a intrării în vigoare a proiectului de act normativ</w:t>
            </w:r>
          </w:p>
          <w:p>
            <w:pPr>
              <w:tabs>
                <w:tab w:val="left" w:pos="567"/>
              </w:tabs>
              <w:spacing w:after="0" w:line="240" w:lineRule="auto"/>
              <w:contextualSpacing w:val="0"/>
              <w:jc w:val="both"/>
              <w:rPr>
                <w:rFonts w:ascii="Trebuchet MS" w:hAnsi="Trebuchet MS" w:eastAsia="Trebuchet MS" w:cs="Trebuchet MS"/>
              </w:rPr>
            </w:pP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5.2. Impactul asupra legislației in domeniul achizițiilor publice</w:t>
            </w:r>
          </w:p>
          <w:p>
            <w:pPr>
              <w:spacing w:after="0" w:line="240" w:lineRule="auto"/>
              <w:contextualSpacing w:val="0"/>
              <w:jc w:val="both"/>
              <w:rPr>
                <w:rFonts w:ascii="Trebuchet MS" w:hAnsi="Trebuchet MS" w:eastAsia="Trebuchet MS" w:cs="Trebuchet MS"/>
              </w:rPr>
            </w:pP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5.3. Conformitatea proiectului de act normativ cu legislația UE (în cazul proiectelor ce transpun sau asigură aplicarea unor prevederi de drept UE).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5.3.1. Măsuri normative necesare transpunerii directivelor UE</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5.3.2. Măsuri normative necesare aplicării actelor legislative UE  </w:t>
            </w:r>
          </w:p>
          <w:p>
            <w:pPr>
              <w:spacing w:after="0" w:line="240" w:lineRule="auto"/>
              <w:contextualSpacing w:val="0"/>
              <w:jc w:val="both"/>
              <w:rPr>
                <w:rFonts w:ascii="Trebuchet MS" w:hAnsi="Trebuchet MS" w:eastAsia="Trebuchet MS" w:cs="Trebuchet MS"/>
              </w:rPr>
            </w:pP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5.4. Hotărâri ale Curții de Justiție a Uniunii Europene </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5.5. Alte acte normative  şi/sau documente internaționale din care decurg angajamente asumate </w:t>
            </w:r>
          </w:p>
          <w:p>
            <w:pPr>
              <w:tabs>
                <w:tab w:val="left" w:pos="567"/>
              </w:tabs>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Prezentul act normativ nu se referă la acest subiect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tabs>
                <w:tab w:val="left" w:pos="567"/>
              </w:tabs>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5.6. Alte informații</w:t>
            </w:r>
            <w:r>
              <w:rPr>
                <w:rFonts w:ascii="Trebuchet MS" w:hAnsi="Trebuchet MS" w:eastAsia="Trebuchet MS" w:cs="Trebuchet MS"/>
                <w:b/>
                <w:rtl w:val="0"/>
              </w:rPr>
              <w:t xml:space="preserve">  </w:t>
            </w:r>
          </w:p>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6-a:</w:t>
            </w:r>
          </w:p>
          <w:p>
            <w:pPr>
              <w:tabs>
                <w:tab w:val="left" w:pos="567"/>
              </w:tabs>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Consultările efectuate în vederea elaborării proiectului de act normativ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6.1. Informații privind neaplicarea procedurii de participare la elaborarea actelor normative</w:t>
            </w:r>
          </w:p>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6.2. Informații privind procesul de consultare cu organizații neguvernamentale, institute de cercetare și alte organisme implicate. </w:t>
            </w:r>
          </w:p>
          <w:p>
            <w:pPr>
              <w:tabs>
                <w:tab w:val="left" w:pos="567"/>
              </w:tabs>
              <w:spacing w:after="0" w:line="240" w:lineRule="auto"/>
              <w:contextualSpacing w:val="0"/>
              <w:jc w:val="both"/>
              <w:rPr>
                <w:rFonts w:ascii="Trebuchet MS" w:hAnsi="Trebuchet MS" w:eastAsia="Trebuchet MS" w:cs="Trebuchet MS"/>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6.3. Informații despre consultările organizate cu autoritățile administrației publice locale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6.4. Informații privind puncte de vedere/opinii emise de organisme consultative constituite prin acte normative. </w:t>
            </w:r>
          </w:p>
          <w:p>
            <w:pPr>
              <w:spacing w:after="0" w:line="240" w:lineRule="auto"/>
              <w:contextualSpacing w:val="0"/>
              <w:jc w:val="both"/>
              <w:rPr>
                <w:rFonts w:ascii="Trebuchet MS" w:hAnsi="Trebuchet MS" w:eastAsia="Trebuchet MS" w:cs="Trebuchet M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6.5. Informații privind avizarea de către: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a) Consiliul Legislativ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b) Consiliul Suprem de Apărare a Țării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c) Consiliul Economic și Social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d) Consiliul Concurenței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e) Curtea de Conturi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În cadrul procesului de adoptare, acest act normativ urmează să fie avizat de către Consiliul Legislativ, Consiliul Concurenței și Consiliul Economic și Social.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6.6. Alte informaţii</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Nu au fost identificate.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7-a:</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Activităţi de informare publică privind elaborarea şi implementarea proiectului de act normativ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keepNext w:val="0"/>
              <w:keepLines w:val="0"/>
              <w:widowControl/>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160" w:line="259" w:lineRule="auto"/>
              <w:ind w:left="360" w:right="0" w:hanging="360"/>
              <w:contextualSpacing/>
              <w:jc w:val="both"/>
              <w:rPr>
                <w:rFonts w:ascii="Trebuchet MS" w:hAnsi="Trebuchet MS" w:eastAsia="Trebuchet MS" w:cs="Trebuchet MS"/>
                <w:i w:val="0"/>
                <w:smallCaps w:val="0"/>
                <w:strike w:val="0"/>
                <w:color w:val="000000"/>
                <w:sz w:val="22"/>
                <w:szCs w:val="22"/>
                <w:u w:val="none"/>
                <w:shd w:val="clear" w:fill="auto"/>
                <w:vertAlign w:val="baseline"/>
              </w:rPr>
            </w:pPr>
            <w:r>
              <w:rPr>
                <w:rFonts w:ascii="Trebuchet MS" w:hAnsi="Trebuchet MS" w:eastAsia="Trebuchet MS" w:cs="Trebuchet MS"/>
                <w:b w:val="0"/>
                <w:i w:val="0"/>
                <w:smallCaps w:val="0"/>
                <w:strike w:val="0"/>
                <w:color w:val="000000"/>
                <w:sz w:val="22"/>
                <w:szCs w:val="22"/>
                <w:u w:val="none"/>
                <w:shd w:val="clear" w:fill="auto"/>
                <w:vertAlign w:val="baseline"/>
                <w:rtl w:val="0"/>
              </w:rPr>
              <w:t>Informarea societății civile cu privire la elaborarea proiectului de act normativ</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În procesul de elaborare a proiectului de act normativ au fost îndeplinite procedurile prevăzute de Legea nr. 52/2003 privind transparenţa decizională, cu modificările şi completările ulterioare.</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Proiectul de act normativ a fost publicat pe site-ul Ministerului Antreprenoriatului și Turismului în consultare publică în data de </w:t>
            </w:r>
            <w:r>
              <w:rPr>
                <w:rFonts w:ascii="Trebuchet MS" w:hAnsi="Trebuchet MS" w:eastAsia="Trebuchet MS" w:cs="Trebuchet MS"/>
                <w:color w:val="FF0000"/>
                <w:rtl w:val="0"/>
              </w:rPr>
              <w:t>03 octombrie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7.2. Informarea societății civile cu privire la eventualul impact asupra mediului în urma implementării proiectului de act normativ, precum şi efectele asupra sănătății și securității cetățenilor sau diversității biologice.</w:t>
            </w:r>
          </w:p>
          <w:p>
            <w:pPr>
              <w:spacing w:after="0" w:line="240" w:lineRule="auto"/>
              <w:contextualSpacing w:val="0"/>
              <w:jc w:val="both"/>
              <w:rPr>
                <w:rFonts w:ascii="Trebuchet MS" w:hAnsi="Trebuchet MS" w:eastAsia="Trebuchet MS" w:cs="Trebuchet M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keepNext w:val="0"/>
              <w:keepLines w:val="0"/>
              <w:widowControl/>
              <w:numPr>
                <w:ilvl w:val="1"/>
                <w:numId w:val="6"/>
              </w:numPr>
              <w:pBdr>
                <w:top w:val="none" w:color="auto" w:sz="0" w:space="0"/>
                <w:left w:val="none" w:color="auto" w:sz="0" w:space="0"/>
                <w:bottom w:val="none" w:color="auto" w:sz="0" w:space="0"/>
                <w:right w:val="none" w:color="auto" w:sz="0" w:space="0"/>
                <w:between w:val="none" w:color="auto" w:sz="0" w:space="0"/>
              </w:pBdr>
              <w:shd w:val="clear" w:fill="auto"/>
              <w:spacing w:before="0" w:after="160" w:line="259" w:lineRule="auto"/>
              <w:ind w:left="420" w:right="0" w:hanging="420"/>
              <w:contextualSpacing/>
              <w:jc w:val="both"/>
              <w:rPr>
                <w:rFonts w:ascii="Trebuchet MS" w:hAnsi="Trebuchet MS" w:eastAsia="Trebuchet MS" w:cs="Trebuchet MS"/>
                <w:i w:val="0"/>
                <w:smallCaps w:val="0"/>
                <w:strike w:val="0"/>
                <w:color w:val="000000"/>
                <w:sz w:val="22"/>
                <w:szCs w:val="22"/>
                <w:u w:val="none"/>
                <w:shd w:val="clear" w:fill="auto"/>
                <w:vertAlign w:val="baseline"/>
              </w:rPr>
            </w:pPr>
            <w:r>
              <w:rPr>
                <w:rFonts w:ascii="Trebuchet MS" w:hAnsi="Trebuchet MS" w:eastAsia="Trebuchet MS" w:cs="Trebuchet MS"/>
                <w:b w:val="0"/>
                <w:i w:val="0"/>
                <w:smallCaps w:val="0"/>
                <w:strike w:val="0"/>
                <w:color w:val="000000"/>
                <w:sz w:val="22"/>
                <w:szCs w:val="22"/>
                <w:u w:val="none"/>
                <w:shd w:val="clear" w:fill="auto"/>
                <w:vertAlign w:val="baseline"/>
                <w:rtl w:val="0"/>
              </w:rPr>
              <w:t>Alte informații</w:t>
            </w:r>
            <w:r>
              <w:rPr>
                <w:rFonts w:ascii="Trebuchet MS" w:hAnsi="Trebuchet MS" w:eastAsia="Trebuchet MS" w:cs="Trebuchet MS"/>
                <w:b/>
                <w:i w:val="0"/>
                <w:smallCaps w:val="0"/>
                <w:strike w:val="0"/>
                <w:color w:val="000000"/>
                <w:sz w:val="22"/>
                <w:szCs w:val="22"/>
                <w:u w:val="none"/>
                <w:shd w:val="clear" w:fill="auto"/>
                <w:vertAlign w:val="baseline"/>
                <w:rtl w:val="0"/>
              </w:rPr>
              <w:t xml:space="preserve"> </w:t>
            </w:r>
          </w:p>
          <w:p>
            <w:pPr>
              <w:spacing w:after="0" w:line="240" w:lineRule="auto"/>
              <w:contextualSpacing w:val="0"/>
              <w:jc w:val="both"/>
              <w:rPr>
                <w:rFonts w:ascii="Trebuchet MS" w:hAnsi="Trebuchet MS" w:eastAsia="Trebuchet MS" w:cs="Trebuchet MS"/>
                <w:b/>
              </w:rPr>
            </w:pPr>
            <w:r>
              <w:rPr>
                <w:rFonts w:ascii="Trebuchet MS" w:hAnsi="Trebuchet MS" w:eastAsia="Trebuchet MS" w:cs="Trebuchet MS"/>
                <w:b/>
                <w:rtl w:val="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Secțiunea a 8-a:</w:t>
            </w: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Măsuri privind implementarea, monitorizarea și evaluarea proiectului de act normativ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rPr>
            </w:pPr>
            <w:r>
              <w:rPr>
                <w:rFonts w:ascii="Trebuchet MS" w:hAnsi="Trebuchet MS" w:eastAsia="Trebuchet MS" w:cs="Trebuchet MS"/>
                <w:rtl w:val="0"/>
              </w:rPr>
              <w:t xml:space="preserve">8.1. Măsurile de punere în aplicare a proiectului de act normativ </w:t>
            </w:r>
          </w:p>
          <w:p>
            <w:pPr>
              <w:spacing w:after="0" w:line="240" w:lineRule="auto"/>
              <w:contextualSpacing w:val="0"/>
              <w:jc w:val="both"/>
              <w:rPr>
                <w:rFonts w:ascii="Trebuchet MS" w:hAnsi="Trebuchet MS" w:eastAsia="Trebuchet MS" w:cs="Trebuchet M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gridSpan w:val="7"/>
          </w:tcPr>
          <w:p>
            <w:pPr>
              <w:spacing w:after="0" w:line="240" w:lineRule="auto"/>
              <w:contextualSpacing w:val="0"/>
              <w:jc w:val="both"/>
              <w:rPr>
                <w:rFonts w:ascii="Trebuchet MS" w:hAnsi="Trebuchet MS" w:eastAsia="Trebuchet MS" w:cs="Trebuchet MS"/>
                <w:b/>
              </w:rPr>
            </w:pPr>
            <w:r>
              <w:rPr>
                <w:rFonts w:ascii="Trebuchet MS" w:hAnsi="Trebuchet MS" w:eastAsia="Trebuchet MS" w:cs="Trebuchet MS"/>
                <w:rtl w:val="0"/>
              </w:rPr>
              <w:t>8.2. Alte informații</w:t>
            </w:r>
            <w:r>
              <w:rPr>
                <w:rFonts w:ascii="Trebuchet MS" w:hAnsi="Trebuchet MS" w:eastAsia="Trebuchet MS" w:cs="Trebuchet MS"/>
                <w:b/>
                <w:rtl w:val="0"/>
              </w:rPr>
              <w:t xml:space="preserve">  </w:t>
            </w:r>
          </w:p>
          <w:p>
            <w:pPr>
              <w:spacing w:after="0" w:line="240" w:lineRule="auto"/>
              <w:contextualSpacing w:val="0"/>
              <w:jc w:val="both"/>
              <w:rPr>
                <w:rFonts w:ascii="Trebuchet MS" w:hAnsi="Trebuchet MS" w:eastAsia="Trebuchet MS" w:cs="Trebuchet MS"/>
              </w:rPr>
            </w:pPr>
            <w:r>
              <w:rPr>
                <w:rFonts w:ascii="Trebuchet MS" w:hAnsi="Trebuchet MS" w:eastAsia="Trebuchet MS" w:cs="Trebuchet MS"/>
                <w:b/>
                <w:rtl w:val="0"/>
              </w:rPr>
              <w:t xml:space="preserve">                </w:t>
            </w:r>
          </w:p>
        </w:tc>
      </w:tr>
    </w:tbl>
    <w:p>
      <w:pPr>
        <w:spacing w:after="0" w:line="240" w:lineRule="auto"/>
        <w:contextualSpacing w:val="0"/>
        <w:jc w:val="both"/>
        <w:rPr>
          <w:rFonts w:ascii="Trebuchet MS" w:hAnsi="Trebuchet MS" w:eastAsia="Trebuchet MS" w:cs="Trebuchet MS"/>
        </w:rPr>
      </w:pPr>
      <w:r>
        <w:rPr>
          <w:rFonts w:ascii="Trebuchet MS" w:hAnsi="Trebuchet MS" w:eastAsia="Trebuchet MS" w:cs="Trebuchet MS"/>
          <w:b/>
          <w:rtl w:val="0"/>
        </w:rPr>
        <w:t xml:space="preserve">                </w:t>
      </w:r>
    </w:p>
    <w:p>
      <w:pPr>
        <w:spacing w:after="0" w:line="240" w:lineRule="auto"/>
        <w:contextualSpacing w:val="0"/>
        <w:jc w:val="both"/>
        <w:rPr>
          <w:rFonts w:ascii="Trebuchet MS" w:hAnsi="Trebuchet MS" w:eastAsia="Trebuchet MS" w:cs="Trebuchet MS"/>
          <w:u w:val="single"/>
        </w:rPr>
      </w:pPr>
      <w:r>
        <w:rPr>
          <w:rFonts w:ascii="Trebuchet MS" w:hAnsi="Trebuchet MS" w:eastAsia="Trebuchet MS" w:cs="Trebuchet MS"/>
          <w:rtl w:val="0"/>
        </w:rPr>
        <w:t>Faţă de cele prezentate mai sus, am elaborat prezentul proiect de Ordonanţă de urgenţă a Guvernului privind unele măsuri pentru acordarea de sprijin financiar pentru întreprinderile din domeniul turismului, alimentației publice și organizării de evenimente, a căror activitate a fost afectată în contextu</w:t>
      </w:r>
      <w:bookmarkStart w:id="0" w:name="_GoBack"/>
      <w:bookmarkEnd w:id="0"/>
      <w:r>
        <w:rPr>
          <w:rFonts w:ascii="Trebuchet MS" w:hAnsi="Trebuchet MS" w:eastAsia="Trebuchet MS" w:cs="Trebuchet MS"/>
          <w:rtl w:val="0"/>
        </w:rPr>
        <w:t>l agresiunii Rusiei împotriva Ucrainei, pe care îl supunem aprobării.</w:t>
      </w:r>
    </w:p>
    <w:p>
      <w:pPr>
        <w:spacing w:after="0" w:line="240" w:lineRule="auto"/>
        <w:contextualSpacing w:val="0"/>
        <w:jc w:val="both"/>
        <w:rPr>
          <w:rFonts w:ascii="Trebuchet MS" w:hAnsi="Trebuchet MS" w:eastAsia="Trebuchet MS" w:cs="Trebuchet MS"/>
        </w:rPr>
      </w:pP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Ministrul Antreprenoriatului și Turismului</w:t>
      </w:r>
    </w:p>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rPr>
      </w:pPr>
      <w:r>
        <w:rPr>
          <w:rFonts w:ascii="Trebuchet MS" w:hAnsi="Trebuchet MS" w:eastAsia="Trebuchet MS" w:cs="Trebuchet MS"/>
          <w:b/>
          <w:rtl w:val="0"/>
        </w:rPr>
        <w:t>Constantin-Daniel CADARIU</w:t>
      </w:r>
    </w:p>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u w:val="single"/>
        </w:rPr>
      </w:pPr>
      <w:r>
        <w:rPr>
          <w:rFonts w:ascii="Trebuchet MS" w:hAnsi="Trebuchet MS" w:eastAsia="Trebuchet MS" w:cs="Trebuchet MS"/>
          <w:b/>
          <w:u w:val="single"/>
          <w:rtl w:val="0"/>
        </w:rPr>
        <w:t>AVIZĂM FAVORABIL</w:t>
      </w:r>
    </w:p>
    <w:p>
      <w:pPr>
        <w:spacing w:after="0" w:line="240" w:lineRule="auto"/>
        <w:contextualSpacing w:val="0"/>
        <w:jc w:val="center"/>
        <w:rPr>
          <w:rFonts w:ascii="Trebuchet MS" w:hAnsi="Trebuchet MS" w:eastAsia="Trebuchet MS" w:cs="Trebuchet MS"/>
          <w:b/>
          <w:u w:val="single"/>
        </w:rPr>
      </w:pPr>
    </w:p>
    <w:tbl>
      <w:tblPr>
        <w:tblStyle w:val="40"/>
        <w:tblW w:w="901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4508"/>
        <w:gridCol w:w="4508"/>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c>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Ministrul Finanţelor</w:t>
            </w:r>
          </w:p>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Adrian CÂCIU</w:t>
            </w:r>
          </w:p>
          <w:p>
            <w:pPr>
              <w:spacing w:after="0" w:line="240" w:lineRule="auto"/>
              <w:contextualSpacing w:val="0"/>
              <w:jc w:val="center"/>
              <w:rPr>
                <w:rFonts w:ascii="Trebuchet MS" w:hAnsi="Trebuchet MS" w:eastAsia="Trebuchet MS" w:cs="Trebuchet MS"/>
                <w:b/>
              </w:rPr>
            </w:pPr>
          </w:p>
        </w:tc>
        <w:tc>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Ministrul Justiţiei</w:t>
            </w:r>
          </w:p>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rPr>
            </w:pPr>
            <w:r>
              <w:rPr>
                <w:rFonts w:ascii="Trebuchet MS" w:hAnsi="Trebuchet MS" w:eastAsia="Trebuchet MS" w:cs="Trebuchet MS"/>
                <w:b/>
                <w:rtl w:val="0"/>
              </w:rPr>
              <w:t>Marian Cătălin PREDOIU</w:t>
            </w:r>
          </w:p>
          <w:p>
            <w:pPr>
              <w:spacing w:after="0" w:line="240" w:lineRule="auto"/>
              <w:contextualSpacing w:val="0"/>
              <w:jc w:val="center"/>
              <w:rPr>
                <w:rFonts w:ascii="Trebuchet MS" w:hAnsi="Trebuchet MS" w:eastAsia="Trebuchet MS" w:cs="Trebuchet MS"/>
                <w:b/>
              </w:rPr>
            </w:pPr>
          </w:p>
          <w:p>
            <w:pPr>
              <w:spacing w:after="0" w:line="240" w:lineRule="auto"/>
              <w:contextualSpacing w:val="0"/>
              <w:jc w:val="center"/>
              <w:rPr>
                <w:rFonts w:ascii="Trebuchet MS" w:hAnsi="Trebuchet MS" w:eastAsia="Trebuchet MS" w:cs="Trebuchet MS"/>
                <w:b/>
              </w:rPr>
            </w:pPr>
          </w:p>
        </w:tc>
      </w:tr>
    </w:tbl>
    <w:p>
      <w:pPr>
        <w:spacing w:after="0" w:line="240" w:lineRule="auto"/>
        <w:contextualSpacing w:val="0"/>
        <w:rPr>
          <w:rFonts w:ascii="Trebuchet MS" w:hAnsi="Trebuchet MS" w:eastAsia="Trebuchet MS" w:cs="Trebuchet MS"/>
          <w:b/>
        </w:rPr>
      </w:pPr>
    </w:p>
    <w:sectPr>
      <w:footerReference r:id="rId5" w:type="default"/>
      <w:pgSz w:w="11906" w:h="16838"/>
      <w:pgMar w:top="1152" w:right="1440" w:bottom="1152" w:left="1440" w:header="706" w:footer="706"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Georgia">
    <w:panose1 w:val="02040502050405020303"/>
    <w:charset w:val="00"/>
    <w:family w:val="auto"/>
    <w:pitch w:val="default"/>
    <w:sig w:usb0="00000287" w:usb1="00000000" w:usb2="00000000" w:usb3="00000000" w:csb0="2000009F" w:csb1="00000000"/>
  </w:font>
  <w:font w:name="Trebuchet MS">
    <w:panose1 w:val="020B0603020202020204"/>
    <w:charset w:val="00"/>
    <w:family w:val="auto"/>
    <w:pitch w:val="default"/>
    <w:sig w:usb0="00000687" w:usb1="00000000" w:usb2="00000000" w:usb3="00000000" w:csb0="2000009F" w:csb1="00000000"/>
  </w:font>
  <w:font w:name="Noto Sans Symbol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513"/>
        <w:tab w:val="right" w:pos="9026"/>
      </w:tabs>
      <w:spacing w:before="0" w:after="0" w:line="240" w:lineRule="auto"/>
      <w:ind w:left="0" w:right="0" w:firstLine="0"/>
      <w:contextualSpacing w:val="0"/>
      <w:jc w:val="right"/>
      <w:rPr>
        <w:rFonts w:ascii="Calibri" w:hAnsi="Calibri" w:eastAsia="Calibri" w:cs="Calibri"/>
        <w:b w:val="0"/>
        <w:i w:val="0"/>
        <w:smallCaps w:val="0"/>
        <w:strike w:val="0"/>
        <w:color w:val="000000"/>
        <w:sz w:val="22"/>
        <w:szCs w:val="22"/>
        <w:u w:val="none"/>
        <w:shd w:val="clear" w:fill="auto"/>
        <w:vertAlign w:val="baseline"/>
      </w:rPr>
    </w:pPr>
    <w:r>
      <w:rPr>
        <w:rFonts w:ascii="Calibri" w:hAnsi="Calibri" w:eastAsia="Calibri" w:cs="Calibri"/>
        <w:b w:val="0"/>
        <w:i w:val="0"/>
        <w:smallCaps w:val="0"/>
        <w:strike w:val="0"/>
        <w:color w:val="000000"/>
        <w:sz w:val="22"/>
        <w:szCs w:val="22"/>
        <w:u w:val="none"/>
        <w:shd w:val="clear" w:fill="auto"/>
        <w:vertAlign w:val="baseline"/>
      </w:rPr>
      <w:fldChar w:fldCharType="begin"/>
    </w:r>
    <w:r>
      <w:rPr>
        <w:rFonts w:ascii="Calibri" w:hAnsi="Calibri" w:eastAsia="Calibri" w:cs="Calibri"/>
        <w:b w:val="0"/>
        <w:i w:val="0"/>
        <w:smallCaps w:val="0"/>
        <w:strike w:val="0"/>
        <w:color w:val="000000"/>
        <w:sz w:val="22"/>
        <w:szCs w:val="22"/>
        <w:u w:val="none"/>
        <w:shd w:val="clear" w:fill="auto"/>
        <w:vertAlign w:val="baseline"/>
      </w:rPr>
      <w:instrText xml:space="preserve">PAGE</w:instrText>
    </w:r>
    <w:r>
      <w:rPr>
        <w:rFonts w:ascii="Calibri" w:hAnsi="Calibri" w:eastAsia="Calibri" w:cs="Calibri"/>
        <w:b w:val="0"/>
        <w:i w:val="0"/>
        <w:smallCaps w:val="0"/>
        <w:strike w:val="0"/>
        <w:color w:val="000000"/>
        <w:sz w:val="22"/>
        <w:szCs w:val="22"/>
        <w:u w:val="none"/>
        <w:shd w:val="clear" w:fill="auto"/>
        <w:vertAlign w:val="baseline"/>
      </w:rPr>
      <w:fldChar w:fldCharType="separate"/>
    </w:r>
    <w:r>
      <w:rPr>
        <w:rFonts w:ascii="Calibri" w:hAnsi="Calibri" w:eastAsia="Calibri" w:cs="Calibri"/>
        <w:b w:val="0"/>
        <w:i w:val="0"/>
        <w:smallCaps w:val="0"/>
        <w:strike w:val="0"/>
        <w:color w:val="000000"/>
        <w:sz w:val="22"/>
        <w:szCs w:val="22"/>
        <w:u w:val="none"/>
        <w:shd w:val="clear" w:fill="auto"/>
        <w:vertAlign w:val="baseline"/>
      </w:rPr>
      <w:fldChar w:fldCharType="end"/>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513"/>
        <w:tab w:val="right" w:pos="9026"/>
      </w:tabs>
      <w:spacing w:before="0" w:after="0" w:line="240" w:lineRule="auto"/>
      <w:ind w:left="0" w:right="0" w:firstLine="0"/>
      <w:contextualSpacing w:val="0"/>
      <w:jc w:val="left"/>
      <w:rPr>
        <w:rFonts w:ascii="Calibri" w:hAnsi="Calibri" w:eastAsia="Calibri" w:cs="Calibri"/>
        <w:b w:val="0"/>
        <w:i w:val="0"/>
        <w:smallCaps w:val="0"/>
        <w:strike w:val="0"/>
        <w:color w:val="000000"/>
        <w:sz w:val="22"/>
        <w:szCs w:val="22"/>
        <w:u w:val="none"/>
        <w:shd w:val="clear" w:fill="auto"/>
        <w:vertAlign w:val="baseli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7"/>
      <w:numFmt w:val="decimal"/>
      <w:lvlText w:val="%1"/>
      <w:lvlJc w:val="left"/>
      <w:pPr>
        <w:ind w:left="360" w:hanging="360"/>
      </w:pPr>
    </w:lvl>
    <w:lvl w:ilvl="1" w:tentative="0">
      <w:start w:val="1"/>
      <w:numFmt w:val="decimal"/>
      <w:lvlText w:val="%1.%2"/>
      <w:lvlJc w:val="left"/>
      <w:pPr>
        <w:ind w:left="360" w:hanging="360"/>
      </w:pPr>
      <w:rPr>
        <w:b w:val="0"/>
      </w:rPr>
    </w:lvl>
    <w:lvl w:ilvl="2" w:tentative="0">
      <w:start w:val="1"/>
      <w:numFmt w:val="decimal"/>
      <w:lvlText w:val="%1.%2.%3"/>
      <w:lvlJc w:val="left"/>
      <w:pPr>
        <w:ind w:left="720" w:hanging="720"/>
      </w:pPr>
    </w:lvl>
    <w:lvl w:ilvl="3" w:tentative="0">
      <w:start w:val="1"/>
      <w:numFmt w:val="decimal"/>
      <w:lvlText w:val="%1.%2.%3.%4"/>
      <w:lvlJc w:val="left"/>
      <w:pPr>
        <w:ind w:left="720" w:hanging="720"/>
      </w:pPr>
    </w:lvl>
    <w:lvl w:ilvl="4" w:tentative="0">
      <w:start w:val="1"/>
      <w:numFmt w:val="decimal"/>
      <w:lvlText w:val="%1.%2.%3.%4.%5"/>
      <w:lvlJc w:val="left"/>
      <w:pPr>
        <w:ind w:left="1080" w:hanging="1080"/>
      </w:pPr>
    </w:lvl>
    <w:lvl w:ilvl="5" w:tentative="0">
      <w:start w:val="1"/>
      <w:numFmt w:val="decimal"/>
      <w:lvlText w:val="%1.%2.%3.%4.%5.%6"/>
      <w:lvlJc w:val="left"/>
      <w:pPr>
        <w:ind w:left="1080" w:hanging="1080"/>
      </w:pPr>
    </w:lvl>
    <w:lvl w:ilvl="6" w:tentative="0">
      <w:start w:val="1"/>
      <w:numFmt w:val="decimal"/>
      <w:lvlText w:val="%1.%2.%3.%4.%5.%6.%7"/>
      <w:lvlJc w:val="left"/>
      <w:pPr>
        <w:ind w:left="1440" w:hanging="1440"/>
      </w:pPr>
    </w:lvl>
    <w:lvl w:ilvl="7" w:tentative="0">
      <w:start w:val="1"/>
      <w:numFmt w:val="decimal"/>
      <w:lvlText w:val="%1.%2.%3.%4.%5.%6.%7.%8"/>
      <w:lvlJc w:val="left"/>
      <w:pPr>
        <w:ind w:left="1440" w:hanging="1440"/>
      </w:pPr>
    </w:lvl>
    <w:lvl w:ilvl="8" w:tentative="0">
      <w:start w:val="1"/>
      <w:numFmt w:val="decimal"/>
      <w:lvlText w:val="%1.%2.%3.%4.%5.%6.%7.%8.%9"/>
      <w:lvlJc w:val="left"/>
      <w:pPr>
        <w:ind w:left="1440" w:hanging="1440"/>
      </w:pPr>
    </w:lvl>
  </w:abstractNum>
  <w:abstractNum w:abstractNumId="1">
    <w:nsid w:val="BF205925"/>
    <w:multiLevelType w:val="multilevel"/>
    <w:tmpl w:val="BF205925"/>
    <w:lvl w:ilvl="0" w:tentative="0">
      <w:start w:val="1"/>
      <w:numFmt w:val="low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CF092B84"/>
    <w:multiLevelType w:val="multilevel"/>
    <w:tmpl w:val="CF092B84"/>
    <w:lvl w:ilvl="0" w:tentative="0">
      <w:start w:val="1"/>
      <w:numFmt w:val="lowerRoman"/>
      <w:lvlText w:val="%1."/>
      <w:lvlJc w:val="right"/>
      <w:pPr>
        <w:ind w:left="720" w:hanging="360"/>
      </w:pPr>
    </w:lvl>
    <w:lvl w:ilvl="1" w:tentative="0">
      <w:start w:val="1"/>
      <w:numFmt w:val="bullet"/>
      <w:lvlText w:val="●"/>
      <w:lvlJc w:val="left"/>
      <w:pPr>
        <w:ind w:left="1440" w:hanging="360"/>
      </w:pPr>
      <w:rPr>
        <w:rFonts w:ascii="Noto Sans Symbols" w:hAnsi="Noto Sans Symbols" w:eastAsia="Noto Sans Symbols" w:cs="Noto Sans Symbols"/>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053208E"/>
    <w:multiLevelType w:val="multilevel"/>
    <w:tmpl w:val="0053208E"/>
    <w:lvl w:ilvl="0" w:tentative="0">
      <w:start w:val="2"/>
      <w:numFmt w:val="bullet"/>
      <w:lvlText w:val="-"/>
      <w:lvlJc w:val="left"/>
      <w:pPr>
        <w:ind w:left="720" w:hanging="360"/>
      </w:pPr>
      <w:rPr>
        <w:rFonts w:ascii="Trebuchet MS" w:hAnsi="Trebuchet MS" w:eastAsia="Trebuchet MS" w:cs="Trebuchet M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4">
    <w:nsid w:val="03D62ECE"/>
    <w:multiLevelType w:val="multilevel"/>
    <w:tmpl w:val="03D62ECE"/>
    <w:lvl w:ilvl="0" w:tentative="0">
      <w:start w:val="7"/>
      <w:numFmt w:val="decimal"/>
      <w:lvlText w:val="%1."/>
      <w:lvlJc w:val="left"/>
      <w:pPr>
        <w:ind w:left="420" w:hanging="420"/>
      </w:pPr>
      <w:rPr>
        <w:b w:val="0"/>
      </w:rPr>
    </w:lvl>
    <w:lvl w:ilvl="1" w:tentative="0">
      <w:start w:val="3"/>
      <w:numFmt w:val="decimal"/>
      <w:lvlText w:val="%1.%2."/>
      <w:lvlJc w:val="left"/>
      <w:pPr>
        <w:ind w:left="720" w:hanging="720"/>
      </w:pPr>
      <w:rPr>
        <w:b w:val="0"/>
      </w:rPr>
    </w:lvl>
    <w:lvl w:ilvl="2" w:tentative="0">
      <w:start w:val="1"/>
      <w:numFmt w:val="decimal"/>
      <w:lvlText w:val="%1.%2.%3."/>
      <w:lvlJc w:val="left"/>
      <w:pPr>
        <w:ind w:left="720" w:hanging="720"/>
      </w:pPr>
      <w:rPr>
        <w:b w:val="0"/>
      </w:rPr>
    </w:lvl>
    <w:lvl w:ilvl="3" w:tentative="0">
      <w:start w:val="1"/>
      <w:numFmt w:val="decimal"/>
      <w:lvlText w:val="%1.%2.%3.%4."/>
      <w:lvlJc w:val="left"/>
      <w:pPr>
        <w:ind w:left="1080" w:hanging="1080"/>
      </w:pPr>
      <w:rPr>
        <w:b w:val="0"/>
      </w:rPr>
    </w:lvl>
    <w:lvl w:ilvl="4" w:tentative="0">
      <w:start w:val="1"/>
      <w:numFmt w:val="decimal"/>
      <w:lvlText w:val="%1.%2.%3.%4.%5."/>
      <w:lvlJc w:val="left"/>
      <w:pPr>
        <w:ind w:left="1080" w:hanging="1080"/>
      </w:pPr>
      <w:rPr>
        <w:b w:val="0"/>
      </w:rPr>
    </w:lvl>
    <w:lvl w:ilvl="5" w:tentative="0">
      <w:start w:val="1"/>
      <w:numFmt w:val="decimal"/>
      <w:lvlText w:val="%1.%2.%3.%4.%5.%6."/>
      <w:lvlJc w:val="left"/>
      <w:pPr>
        <w:ind w:left="1440" w:hanging="1440"/>
      </w:pPr>
      <w:rPr>
        <w:b w:val="0"/>
      </w:rPr>
    </w:lvl>
    <w:lvl w:ilvl="6" w:tentative="0">
      <w:start w:val="1"/>
      <w:numFmt w:val="decimal"/>
      <w:lvlText w:val="%1.%2.%3.%4.%5.%6.%7."/>
      <w:lvlJc w:val="left"/>
      <w:pPr>
        <w:ind w:left="1800" w:hanging="1800"/>
      </w:pPr>
      <w:rPr>
        <w:b w:val="0"/>
      </w:rPr>
    </w:lvl>
    <w:lvl w:ilvl="7" w:tentative="0">
      <w:start w:val="1"/>
      <w:numFmt w:val="decimal"/>
      <w:lvlText w:val="%1.%2.%3.%4.%5.%6.%7.%8."/>
      <w:lvlJc w:val="left"/>
      <w:pPr>
        <w:ind w:left="1800" w:hanging="1800"/>
      </w:pPr>
      <w:rPr>
        <w:b w:val="0"/>
      </w:rPr>
    </w:lvl>
    <w:lvl w:ilvl="8" w:tentative="0">
      <w:start w:val="1"/>
      <w:numFmt w:val="decimal"/>
      <w:lvlText w:val="%1.%2.%3.%4.%5.%6.%7.%8.%9."/>
      <w:lvlJc w:val="left"/>
      <w:pPr>
        <w:ind w:left="2160" w:hanging="2160"/>
      </w:pPr>
      <w:rPr>
        <w:b w:val="0"/>
      </w:rPr>
    </w:lvl>
  </w:abstractNum>
  <w:abstractNum w:abstractNumId="5">
    <w:nsid w:val="59ADCABA"/>
    <w:multiLevelType w:val="multilevel"/>
    <w:tmpl w:val="59ADCABA"/>
    <w:lvl w:ilvl="0" w:tentative="0">
      <w:start w:val="1"/>
      <w:numFmt w:val="lowerRoman"/>
      <w:lvlText w:val="%1."/>
      <w:lvlJc w:val="right"/>
      <w:pPr>
        <w:ind w:left="720"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compatSetting w:name="compatibilityMode" w:uri="http://schemas.microsoft.com/office/word" w:val="14"/>
  </w:compat>
  <w:rsids>
    <w:rsidRoot w:val="00000000"/>
    <w:rsid w:val="2E7D1D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99"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sz w:val="22"/>
      <w:szCs w:val="22"/>
      <w:lang w:val="en-US"/>
    </w:rPr>
  </w:style>
  <w:style w:type="paragraph" w:styleId="2">
    <w:name w:val="heading 1"/>
    <w:basedOn w:val="1"/>
    <w:next w:val="1"/>
    <w:uiPriority w:val="0"/>
    <w:pPr>
      <w:keepNext/>
      <w:keepLines/>
      <w:spacing w:before="480" w:after="120"/>
    </w:pPr>
    <w:rPr>
      <w:b/>
      <w:sz w:val="48"/>
      <w:szCs w:val="48"/>
    </w:rPr>
  </w:style>
  <w:style w:type="paragraph" w:styleId="3">
    <w:name w:val="heading 2"/>
    <w:basedOn w:val="1"/>
    <w:next w:val="1"/>
    <w:uiPriority w:val="0"/>
    <w:pPr>
      <w:keepNext/>
      <w:keepLines/>
      <w:spacing w:before="360" w:after="80"/>
    </w:pPr>
    <w:rPr>
      <w:b/>
      <w:sz w:val="36"/>
      <w:szCs w:val="36"/>
    </w:rPr>
  </w:style>
  <w:style w:type="paragraph" w:styleId="4">
    <w:name w:val="heading 3"/>
    <w:basedOn w:val="1"/>
    <w:next w:val="1"/>
    <w:uiPriority w:val="0"/>
    <w:pPr>
      <w:keepNext/>
      <w:keepLines/>
      <w:spacing w:before="280" w:after="80"/>
    </w:pPr>
    <w:rPr>
      <w:b/>
      <w:sz w:val="28"/>
      <w:szCs w:val="28"/>
    </w:rPr>
  </w:style>
  <w:style w:type="paragraph" w:styleId="5">
    <w:name w:val="heading 4"/>
    <w:basedOn w:val="1"/>
    <w:next w:val="1"/>
    <w:uiPriority w:val="0"/>
    <w:pPr>
      <w:keepNext/>
      <w:keepLines/>
      <w:spacing w:before="240" w:after="40"/>
    </w:pPr>
    <w:rPr>
      <w:b/>
      <w:sz w:val="24"/>
      <w:szCs w:val="24"/>
    </w:rPr>
  </w:style>
  <w:style w:type="paragraph" w:styleId="6">
    <w:name w:val="heading 5"/>
    <w:basedOn w:val="1"/>
    <w:next w:val="1"/>
    <w:uiPriority w:val="0"/>
    <w:pPr>
      <w:keepNext/>
      <w:keepLines/>
      <w:spacing w:before="220" w:after="40"/>
    </w:pPr>
    <w:rPr>
      <w:b/>
      <w:sz w:val="22"/>
      <w:szCs w:val="22"/>
    </w:rPr>
  </w:style>
  <w:style w:type="paragraph" w:styleId="7">
    <w:name w:val="heading 6"/>
    <w:basedOn w:val="1"/>
    <w:next w:val="1"/>
    <w:qFormat/>
    <w:uiPriority w:val="0"/>
    <w:pPr>
      <w:keepNext/>
      <w:keepLines/>
      <w:spacing w:before="200" w:after="40"/>
    </w:pPr>
    <w:rPr>
      <w:b/>
      <w:sz w:val="20"/>
      <w:szCs w:val="20"/>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Balloon Text"/>
    <w:basedOn w:val="1"/>
    <w:link w:val="25"/>
    <w:semiHidden/>
    <w:unhideWhenUsed/>
    <w:uiPriority w:val="99"/>
    <w:pPr>
      <w:spacing w:after="0" w:line="240" w:lineRule="auto"/>
    </w:pPr>
    <w:rPr>
      <w:rFonts w:ascii="Segoe UI" w:hAnsi="Segoe UI" w:cs="Segoe UI"/>
      <w:sz w:val="18"/>
      <w:szCs w:val="18"/>
    </w:rPr>
  </w:style>
  <w:style w:type="character" w:styleId="11">
    <w:name w:val="annotation reference"/>
    <w:basedOn w:val="8"/>
    <w:semiHidden/>
    <w:unhideWhenUsed/>
    <w:uiPriority w:val="99"/>
    <w:rPr>
      <w:sz w:val="16"/>
      <w:szCs w:val="16"/>
    </w:rPr>
  </w:style>
  <w:style w:type="paragraph" w:styleId="12">
    <w:name w:val="annotation text"/>
    <w:basedOn w:val="1"/>
    <w:link w:val="31"/>
    <w:semiHidden/>
    <w:unhideWhenUsed/>
    <w:uiPriority w:val="99"/>
    <w:pPr>
      <w:spacing w:line="240" w:lineRule="auto"/>
    </w:pPr>
    <w:rPr>
      <w:sz w:val="20"/>
      <w:szCs w:val="20"/>
    </w:rPr>
  </w:style>
  <w:style w:type="paragraph" w:styleId="13">
    <w:name w:val="annotation subject"/>
    <w:basedOn w:val="12"/>
    <w:next w:val="12"/>
    <w:link w:val="32"/>
    <w:semiHidden/>
    <w:unhideWhenUsed/>
    <w:uiPriority w:val="99"/>
    <w:rPr>
      <w:b/>
      <w:bCs/>
    </w:rPr>
  </w:style>
  <w:style w:type="paragraph" w:styleId="14">
    <w:name w:val="footer"/>
    <w:basedOn w:val="1"/>
    <w:link w:val="24"/>
    <w:unhideWhenUsed/>
    <w:uiPriority w:val="99"/>
    <w:pPr>
      <w:tabs>
        <w:tab w:val="center" w:pos="4513"/>
        <w:tab w:val="right" w:pos="9026"/>
      </w:tabs>
      <w:spacing w:after="0" w:line="240" w:lineRule="auto"/>
    </w:pPr>
  </w:style>
  <w:style w:type="paragraph" w:styleId="15">
    <w:name w:val="header"/>
    <w:basedOn w:val="1"/>
    <w:link w:val="23"/>
    <w:unhideWhenUsed/>
    <w:uiPriority w:val="99"/>
    <w:pPr>
      <w:tabs>
        <w:tab w:val="center" w:pos="4513"/>
        <w:tab w:val="right" w:pos="9026"/>
      </w:tabs>
      <w:spacing w:after="0" w:line="240" w:lineRule="auto"/>
    </w:pPr>
  </w:style>
  <w:style w:type="character" w:styleId="16">
    <w:name w:val="Hyperlink"/>
    <w:basedOn w:val="8"/>
    <w:unhideWhenUsed/>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en-US"/>
    </w:rPr>
  </w:style>
  <w:style w:type="paragraph" w:styleId="18">
    <w:name w:val="Subtitle"/>
    <w:basedOn w:val="1"/>
    <w:next w:val="1"/>
    <w:uiPriority w:val="0"/>
    <w:pPr>
      <w:keepNext/>
      <w:keepLines/>
      <w:spacing w:before="360" w:after="80"/>
    </w:pPr>
    <w:rPr>
      <w:rFonts w:ascii="Georgia" w:hAnsi="Georgia" w:eastAsia="Georgia" w:cs="Georgia"/>
      <w:i/>
      <w:color w:val="666666"/>
      <w:sz w:val="48"/>
      <w:szCs w:val="48"/>
    </w:rPr>
  </w:style>
  <w:style w:type="table" w:styleId="19">
    <w:name w:val="Table Grid"/>
    <w:basedOn w:val="20"/>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1"/>
    <w:uiPriority w:val="0"/>
  </w:style>
  <w:style w:type="paragraph" w:styleId="21">
    <w:name w:val="Title"/>
    <w:basedOn w:val="1"/>
    <w:next w:val="1"/>
    <w:uiPriority w:val="0"/>
    <w:pPr>
      <w:keepNext/>
      <w:keepLines/>
      <w:spacing w:before="480" w:after="120"/>
    </w:pPr>
    <w:rPr>
      <w:b/>
      <w:sz w:val="72"/>
      <w:szCs w:val="72"/>
    </w:rPr>
  </w:style>
  <w:style w:type="paragraph" w:styleId="22">
    <w:name w:val="List Paragraph"/>
    <w:basedOn w:val="1"/>
    <w:qFormat/>
    <w:uiPriority w:val="34"/>
    <w:pPr>
      <w:ind w:left="720"/>
      <w:contextualSpacing/>
    </w:pPr>
  </w:style>
  <w:style w:type="character" w:customStyle="1" w:styleId="23">
    <w:name w:val="Header Char"/>
    <w:basedOn w:val="8"/>
    <w:link w:val="15"/>
    <w:uiPriority w:val="99"/>
    <w:rPr>
      <w:lang w:val="en-US"/>
    </w:rPr>
  </w:style>
  <w:style w:type="character" w:customStyle="1" w:styleId="24">
    <w:name w:val="Footer Char"/>
    <w:basedOn w:val="8"/>
    <w:link w:val="14"/>
    <w:uiPriority w:val="99"/>
    <w:rPr>
      <w:lang w:val="en-US"/>
    </w:rPr>
  </w:style>
  <w:style w:type="character" w:customStyle="1" w:styleId="25">
    <w:name w:val="Balloon Text Char"/>
    <w:basedOn w:val="8"/>
    <w:link w:val="10"/>
    <w:semiHidden/>
    <w:uiPriority w:val="99"/>
    <w:rPr>
      <w:rFonts w:ascii="Segoe UI" w:hAnsi="Segoe UI" w:cs="Segoe UI"/>
      <w:sz w:val="18"/>
      <w:szCs w:val="18"/>
      <w:lang w:val="en-US"/>
    </w:rPr>
  </w:style>
  <w:style w:type="character" w:customStyle="1" w:styleId="26">
    <w:name w:val="s_hdr"/>
    <w:basedOn w:val="8"/>
    <w:uiPriority w:val="0"/>
  </w:style>
  <w:style w:type="character" w:customStyle="1" w:styleId="27">
    <w:name w:val="s_lit_ttl"/>
    <w:uiPriority w:val="0"/>
  </w:style>
  <w:style w:type="character" w:customStyle="1" w:styleId="28">
    <w:name w:val="s_lit_bdy"/>
    <w:uiPriority w:val="0"/>
  </w:style>
  <w:style w:type="character" w:customStyle="1" w:styleId="29">
    <w:name w:val="s_lit"/>
    <w:uiPriority w:val="0"/>
  </w:style>
  <w:style w:type="character" w:customStyle="1" w:styleId="30">
    <w:name w:val="s_den"/>
    <w:basedOn w:val="8"/>
    <w:uiPriority w:val="0"/>
  </w:style>
  <w:style w:type="character" w:customStyle="1" w:styleId="31">
    <w:name w:val="Comment Text Char"/>
    <w:basedOn w:val="8"/>
    <w:link w:val="12"/>
    <w:semiHidden/>
    <w:uiPriority w:val="99"/>
    <w:rPr>
      <w:sz w:val="20"/>
      <w:szCs w:val="20"/>
      <w:lang w:val="en-US"/>
    </w:rPr>
  </w:style>
  <w:style w:type="character" w:customStyle="1" w:styleId="32">
    <w:name w:val="Comment Subject Char"/>
    <w:basedOn w:val="31"/>
    <w:link w:val="13"/>
    <w:semiHidden/>
    <w:uiPriority w:val="99"/>
    <w:rPr>
      <w:b/>
      <w:bCs/>
      <w:sz w:val="20"/>
      <w:szCs w:val="20"/>
      <w:lang w:val="en-US"/>
    </w:rPr>
  </w:style>
  <w:style w:type="character" w:customStyle="1" w:styleId="33">
    <w:name w:val="l5prm1"/>
    <w:uiPriority w:val="0"/>
    <w:rPr>
      <w:i/>
      <w:color w:val="000000"/>
      <w:sz w:val="26"/>
    </w:rPr>
  </w:style>
  <w:style w:type="character" w:customStyle="1" w:styleId="34">
    <w:name w:val="s_sec_ttl"/>
    <w:basedOn w:val="8"/>
    <w:uiPriority w:val="0"/>
  </w:style>
  <w:style w:type="character" w:customStyle="1" w:styleId="35">
    <w:name w:val="s_sec_den"/>
    <w:basedOn w:val="8"/>
    <w:uiPriority w:val="0"/>
  </w:style>
  <w:style w:type="character" w:customStyle="1" w:styleId="36">
    <w:name w:val="s_art_ttl"/>
    <w:basedOn w:val="8"/>
    <w:uiPriority w:val="0"/>
  </w:style>
  <w:style w:type="character" w:customStyle="1" w:styleId="37">
    <w:name w:val="s_aln_bdy"/>
    <w:basedOn w:val="8"/>
    <w:uiPriority w:val="0"/>
    <w:rPr>
      <w:rFonts w:cs="Times New Roman"/>
    </w:rPr>
  </w:style>
  <w:style w:type="character" w:customStyle="1" w:styleId="38">
    <w:name w:val="s_par"/>
    <w:basedOn w:val="8"/>
    <w:uiPriority w:val="0"/>
  </w:style>
  <w:style w:type="table" w:customStyle="1" w:styleId="39">
    <w:name w:val="_Style 39"/>
    <w:basedOn w:val="20"/>
    <w:uiPriority w:val="0"/>
    <w:pPr>
      <w:spacing w:after="0" w:line="240" w:lineRule="auto"/>
    </w:pPr>
    <w:tblPr>
      <w:tblCellMar>
        <w:top w:w="0" w:type="dxa"/>
        <w:left w:w="108" w:type="dxa"/>
        <w:bottom w:w="0" w:type="dxa"/>
        <w:right w:w="108" w:type="dxa"/>
      </w:tblCellMar>
    </w:tblPr>
  </w:style>
  <w:style w:type="table" w:customStyle="1" w:styleId="40">
    <w:name w:val="_Style 40"/>
    <w:basedOn w:val="20"/>
    <w:uiPriority w:val="0"/>
    <w:pPr>
      <w:spacing w:after="0" w:line="240" w:lineRule="auto"/>
    </w:p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Office_11.2.0.11341_F1E327BC-269C-435d-A152-05C5408002CA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2022-10-12T18:44:30Z</dcterms:created>
  <dc:creator>Lenovo</dc:creator>
  <cp:lastModifiedBy>Lenovo</cp:lastModifiedBy>
  <dcterms:modified xsi:type="dcterms:W3CDTF">2022-10-12T18:44:50Z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C413AA042B9344A4872048A2308B25E5</vt:lpwstr>
  </property>
</Properties>
</file>